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CF7" w:rsidRPr="00163F40" w:rsidRDefault="006A5CF7" w:rsidP="006A5CF7">
      <w:pPr>
        <w:spacing w:after="0" w:line="240" w:lineRule="auto"/>
        <w:ind w:left="2880" w:hanging="288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Metabolomic analysis of oxytocin effects on social deficits in mice</w:t>
      </w:r>
    </w:p>
    <w:p w:rsidR="0053245B" w:rsidRDefault="0053245B" w:rsidP="009C1231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53245B" w:rsidRDefault="006A5CF7" w:rsidP="009C1231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Brain tissue samples</w:t>
      </w:r>
      <w:r w:rsidR="00E90213">
        <w:rPr>
          <w:rFonts w:ascii="Arial" w:eastAsia="Times New Roman" w:hAnsi="Arial" w:cs="Arial"/>
          <w:color w:val="000000"/>
          <w:sz w:val="24"/>
          <w:szCs w:val="24"/>
        </w:rPr>
        <w:t xml:space="preserve"> (Midbrain, Cerebrum, Hind brain, Fore brain and Olfactory bulb)</w:t>
      </w:r>
      <w:r w:rsidR="00DA1238">
        <w:rPr>
          <w:rFonts w:ascii="Arial" w:eastAsia="Times New Roman" w:hAnsi="Arial" w:cs="Arial"/>
          <w:color w:val="000000"/>
          <w:sz w:val="24"/>
          <w:szCs w:val="24"/>
        </w:rPr>
        <w:t xml:space="preserve"> were</w:t>
      </w:r>
      <w:r w:rsidR="009C1231" w:rsidRPr="009C1231">
        <w:rPr>
          <w:rFonts w:ascii="Arial" w:eastAsia="Times New Roman" w:hAnsi="Arial" w:cs="Arial"/>
          <w:color w:val="000000"/>
          <w:sz w:val="24"/>
          <w:szCs w:val="24"/>
        </w:rPr>
        <w:t xml:space="preserve"> shipped the NIH RTI-RCMRC on dry ice and immediately stored at -80 °C after being logged in for metabolomics analysis. A total of </w:t>
      </w:r>
      <w:r>
        <w:rPr>
          <w:rFonts w:ascii="Arial" w:eastAsia="Times New Roman" w:hAnsi="Arial" w:cs="Arial"/>
          <w:color w:val="000000"/>
          <w:sz w:val="24"/>
          <w:szCs w:val="24"/>
        </w:rPr>
        <w:t>99</w:t>
      </w:r>
      <w:r w:rsidR="009C1231" w:rsidRPr="009C1231">
        <w:rPr>
          <w:rFonts w:ascii="Arial" w:eastAsia="Times New Roman" w:hAnsi="Arial" w:cs="Arial"/>
          <w:color w:val="000000"/>
          <w:sz w:val="24"/>
          <w:szCs w:val="24"/>
        </w:rPr>
        <w:t xml:space="preserve"> study samples were thawed on ice for sample preparation. </w:t>
      </w:r>
    </w:p>
    <w:p w:rsidR="000D3E03" w:rsidRDefault="009C5C24" w:rsidP="009C5C24">
      <w:pPr>
        <w:tabs>
          <w:tab w:val="num" w:pos="720"/>
        </w:tabs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FB5660" w:rsidRPr="009C5C24">
        <w:rPr>
          <w:rFonts w:ascii="Arial" w:eastAsia="Times New Roman" w:hAnsi="Arial" w:cs="Arial"/>
          <w:color w:val="000000"/>
          <w:sz w:val="24"/>
          <w:szCs w:val="24"/>
        </w:rPr>
        <w:t>NMR samples were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used for the neurotransmitter analysis after NMR data acquisition. These samples were</w:t>
      </w:r>
      <w:r w:rsidR="00FB5660" w:rsidRPr="009C5C24">
        <w:rPr>
          <w:rFonts w:ascii="Arial" w:eastAsia="Times New Roman" w:hAnsi="Arial" w:cs="Arial"/>
          <w:color w:val="000000"/>
          <w:sz w:val="24"/>
          <w:szCs w:val="24"/>
        </w:rPr>
        <w:t xml:space="preserve"> lyophilized overnight followed by reconstituti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on in 50 µL 95:5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methanol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:water</w:t>
      </w:r>
      <w:proofErr w:type="spellEnd"/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FB5660" w:rsidRPr="009C5C24">
        <w:rPr>
          <w:rFonts w:ascii="Arial" w:eastAsia="Times New Roman" w:hAnsi="Arial" w:cs="Arial"/>
          <w:color w:val="000000"/>
          <w:sz w:val="24"/>
          <w:szCs w:val="24"/>
        </w:rPr>
        <w:t>Following a final centrifugation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, extracts were transferred to </w:t>
      </w:r>
      <w:r w:rsidR="00FB5660" w:rsidRPr="009C5C24">
        <w:rPr>
          <w:rFonts w:ascii="Arial" w:eastAsia="Times New Roman" w:hAnsi="Arial" w:cs="Arial"/>
          <w:color w:val="000000"/>
          <w:sz w:val="24"/>
          <w:szCs w:val="24"/>
        </w:rPr>
        <w:t>vials for analysis by injection (20 µL) onto the Thermo Scientific (TS) 3000 series U-HPLC system. Compound separation was achieved on a Thermo Scientific Hypersil Gold, 200 x 2.1 mm column, and 1.9 µm particle size with an isocratic flow rate of 0.400 mL/min with a column temperature of 30°C.  Simultaneous detection of neurotransmitters was achieved by the TS 5600A 16 channel coulometric array ECD with coulometric cells set at incremental potentials ranging from -150 mV to 900 mV.  A Standard Mix containing 14 target compounds at known concentrations was analyzed just prior to each batch to confirm the retention time and elution channel of each compound.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C5C24">
        <w:rPr>
          <w:rFonts w:ascii="Arial" w:eastAsia="Times New Roman" w:hAnsi="Arial" w:cs="Arial"/>
          <w:color w:val="000000"/>
          <w:sz w:val="24"/>
          <w:szCs w:val="24"/>
        </w:rPr>
        <w:t>Additionally, the mix was used as an external standard to semi-quantitate any targets found in the extracts.</w:t>
      </w:r>
    </w:p>
    <w:p w:rsidR="000D3E03" w:rsidRPr="009C5C24" w:rsidRDefault="00FB5660" w:rsidP="009C5C24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C5C24">
        <w:rPr>
          <w:rFonts w:ascii="Arial" w:eastAsia="Times New Roman" w:hAnsi="Arial" w:cs="Arial"/>
          <w:color w:val="000000"/>
          <w:sz w:val="24"/>
          <w:szCs w:val="24"/>
        </w:rPr>
        <w:t>An</w:t>
      </w:r>
      <w:r w:rsidR="009C5C24">
        <w:rPr>
          <w:rFonts w:ascii="Arial" w:eastAsia="Times New Roman" w:hAnsi="Arial" w:cs="Arial"/>
          <w:color w:val="000000"/>
          <w:sz w:val="24"/>
          <w:szCs w:val="24"/>
        </w:rPr>
        <w:t xml:space="preserve"> individual</w:t>
      </w:r>
      <w:r w:rsidRPr="009C5C24">
        <w:rPr>
          <w:rFonts w:ascii="Arial" w:eastAsia="Times New Roman" w:hAnsi="Arial" w:cs="Arial"/>
          <w:color w:val="000000"/>
          <w:sz w:val="24"/>
          <w:szCs w:val="24"/>
        </w:rPr>
        <w:t> response factor (RF) for each target analyte was calculated using the following equation:</w:t>
      </w:r>
    </w:p>
    <w:p w:rsidR="000D3E03" w:rsidRPr="009C5C24" w:rsidRDefault="00FB5660" w:rsidP="009C5C24">
      <w:pPr>
        <w:numPr>
          <w:ilvl w:val="1"/>
          <w:numId w:val="2"/>
        </w:numPr>
        <w:tabs>
          <w:tab w:val="num" w:pos="720"/>
        </w:tabs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C5C24">
        <w:rPr>
          <w:rFonts w:ascii="Arial" w:eastAsia="Times New Roman" w:hAnsi="Arial" w:cs="Arial"/>
          <w:color w:val="000000"/>
          <w:sz w:val="24"/>
          <w:szCs w:val="24"/>
        </w:rPr>
        <w:t>RF = peak area of known target/sample amount of the known target</w:t>
      </w:r>
    </w:p>
    <w:p w:rsidR="000D3E03" w:rsidRPr="009C5C24" w:rsidRDefault="00FB5660" w:rsidP="009C5C24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C5C24">
        <w:rPr>
          <w:rFonts w:ascii="Arial" w:eastAsia="Times New Roman" w:hAnsi="Arial" w:cs="Arial"/>
          <w:color w:val="000000"/>
          <w:sz w:val="24"/>
          <w:szCs w:val="24"/>
        </w:rPr>
        <w:t>The amount of a target(s) detected in a study sample was calculated using the following equation:</w:t>
      </w:r>
    </w:p>
    <w:p w:rsidR="009C5C24" w:rsidRDefault="00FB5660" w:rsidP="0053245B">
      <w:pPr>
        <w:numPr>
          <w:ilvl w:val="1"/>
          <w:numId w:val="2"/>
        </w:numPr>
        <w:tabs>
          <w:tab w:val="num" w:pos="720"/>
        </w:tabs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C5C24">
        <w:rPr>
          <w:rFonts w:ascii="Arial" w:eastAsia="Times New Roman" w:hAnsi="Arial" w:cs="Arial"/>
          <w:color w:val="000000"/>
          <w:sz w:val="24"/>
          <w:szCs w:val="24"/>
        </w:rPr>
        <w:t>Amo</w:t>
      </w:r>
      <w:bookmarkStart w:id="0" w:name="_GoBack"/>
      <w:bookmarkEnd w:id="0"/>
      <w:r w:rsidRPr="009C5C24">
        <w:rPr>
          <w:rFonts w:ascii="Arial" w:eastAsia="Times New Roman" w:hAnsi="Arial" w:cs="Arial"/>
          <w:color w:val="000000"/>
          <w:sz w:val="24"/>
          <w:szCs w:val="24"/>
        </w:rPr>
        <w:t>unt of target = peak area of target in sample/RF</w:t>
      </w:r>
    </w:p>
    <w:p w:rsidR="00FB5660" w:rsidRDefault="00FB5660" w:rsidP="00FB5660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The 14 neurotransmitters that were included in the Standard Mix were: L-Dopa, Norepinephrine, Tyrosine, Epinephrine, Homogen</w:t>
      </w:r>
      <w:r w:rsidR="002E5D7C">
        <w:rPr>
          <w:rFonts w:ascii="Arial" w:eastAsia="Times New Roman" w:hAnsi="Arial" w:cs="Arial"/>
          <w:color w:val="000000"/>
          <w:sz w:val="24"/>
          <w:szCs w:val="24"/>
        </w:rPr>
        <w:t>ist</w:t>
      </w:r>
      <w:r>
        <w:rPr>
          <w:rFonts w:ascii="Arial" w:eastAsia="Times New Roman" w:hAnsi="Arial" w:cs="Arial"/>
          <w:color w:val="000000"/>
          <w:sz w:val="24"/>
          <w:szCs w:val="24"/>
        </w:rPr>
        <w:t>ic acid, 5-Hyroxytryptophan, Dopamine, Tyramine, 5-Hydroxyindoleacetic acid, 4-Hydroxyphenylacetic acid, Serotonin, N-Acetyl</w:t>
      </w:r>
      <w:r w:rsidR="002E5D7C">
        <w:rPr>
          <w:rFonts w:ascii="Arial" w:eastAsia="Times New Roman" w:hAnsi="Arial" w:cs="Arial"/>
          <w:color w:val="000000"/>
          <w:sz w:val="24"/>
          <w:szCs w:val="24"/>
        </w:rPr>
        <w:t>serotonin, Anthrani</w:t>
      </w:r>
      <w:r>
        <w:rPr>
          <w:rFonts w:ascii="Arial" w:eastAsia="Times New Roman" w:hAnsi="Arial" w:cs="Arial"/>
          <w:color w:val="000000"/>
          <w:sz w:val="24"/>
          <w:szCs w:val="24"/>
        </w:rPr>
        <w:t>lic acid, and Homovanillic acid</w:t>
      </w:r>
      <w:r w:rsidR="002E5D7C">
        <w:rPr>
          <w:rFonts w:ascii="Arial" w:eastAsia="Times New Roman" w:hAnsi="Arial" w:cs="Arial"/>
          <w:color w:val="000000"/>
          <w:sz w:val="24"/>
          <w:szCs w:val="24"/>
        </w:rPr>
        <w:t xml:space="preserve"> (Table 1)</w:t>
      </w:r>
      <w:r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2E5D7C" w:rsidRDefault="002E5D7C" w:rsidP="00FB5660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2E5D7C" w:rsidRDefault="002E5D7C" w:rsidP="00FB5660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2E5D7C" w:rsidRDefault="002E5D7C" w:rsidP="00FB5660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2E5D7C" w:rsidRDefault="002E5D7C" w:rsidP="00FB5660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2E5D7C" w:rsidRDefault="002E5D7C" w:rsidP="00FB5660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2E5D7C" w:rsidRDefault="002E5D7C" w:rsidP="002E5D7C">
      <w:pPr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Table 1. Compound, Elution Channel and Channel Potential</w:t>
      </w:r>
    </w:p>
    <w:tbl>
      <w:tblPr>
        <w:tblW w:w="7700" w:type="dxa"/>
        <w:jc w:val="center"/>
        <w:tblLook w:val="04A0" w:firstRow="1" w:lastRow="0" w:firstColumn="1" w:lastColumn="0" w:noHBand="0" w:noVBand="1"/>
      </w:tblPr>
      <w:tblGrid>
        <w:gridCol w:w="2920"/>
        <w:gridCol w:w="1500"/>
        <w:gridCol w:w="1500"/>
        <w:gridCol w:w="1780"/>
      </w:tblGrid>
      <w:tr w:rsidR="002E5D7C" w:rsidRPr="002E5D7C" w:rsidTr="002E5D7C">
        <w:trPr>
          <w:trHeight w:val="72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b/>
                <w:bCs/>
                <w:color w:val="000000"/>
              </w:rPr>
              <w:t>Compound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b/>
                <w:bCs/>
                <w:color w:val="000000"/>
              </w:rPr>
              <w:t>Abbreviation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b/>
                <w:bCs/>
                <w:color w:val="000000"/>
              </w:rPr>
              <w:t>Dominant Channel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b/>
                <w:bCs/>
                <w:color w:val="000000"/>
              </w:rPr>
              <w:t>Channel Potential (mV)</w:t>
            </w:r>
          </w:p>
        </w:tc>
      </w:tr>
      <w:tr w:rsidR="002E5D7C" w:rsidRPr="002E5D7C" w:rsidTr="002E5D7C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Norepinephrine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400</w:t>
            </w:r>
          </w:p>
        </w:tc>
      </w:tr>
      <w:tr w:rsidR="002E5D7C" w:rsidRPr="002E5D7C" w:rsidTr="002E5D7C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L-Dopamine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LD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400</w:t>
            </w:r>
          </w:p>
        </w:tc>
      </w:tr>
      <w:tr w:rsidR="002E5D7C" w:rsidRPr="002E5D7C" w:rsidTr="002E5D7C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Epinephrine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400</w:t>
            </w:r>
          </w:p>
        </w:tc>
      </w:tr>
      <w:tr w:rsidR="002E5D7C" w:rsidRPr="002E5D7C" w:rsidTr="002E5D7C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Homogenistic acid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HGA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</w:tr>
      <w:tr w:rsidR="002E5D7C" w:rsidRPr="002E5D7C" w:rsidTr="002E5D7C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Tyrosine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TYR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800</w:t>
            </w:r>
          </w:p>
        </w:tc>
      </w:tr>
      <w:tr w:rsidR="002E5D7C" w:rsidRPr="002E5D7C" w:rsidTr="002E5D7C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5-Hydroxytrpytophan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5-HTP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400</w:t>
            </w:r>
          </w:p>
        </w:tc>
      </w:tr>
      <w:tr w:rsidR="002E5D7C" w:rsidRPr="002E5D7C" w:rsidTr="002E5D7C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Dopamine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DA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</w:tr>
      <w:tr w:rsidR="002E5D7C" w:rsidRPr="002E5D7C" w:rsidTr="002E5D7C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Tyramine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TYRA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800</w:t>
            </w:r>
          </w:p>
        </w:tc>
      </w:tr>
      <w:tr w:rsidR="002E5D7C" w:rsidRPr="002E5D7C" w:rsidTr="002E5D7C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5-Hydroxyindoleacetic acid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5-HIAA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400</w:t>
            </w:r>
          </w:p>
        </w:tc>
      </w:tr>
      <w:tr w:rsidR="002E5D7C" w:rsidRPr="002E5D7C" w:rsidTr="002E5D7C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4-Hydroxyphenylacetic acid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4-HPAC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800</w:t>
            </w:r>
          </w:p>
        </w:tc>
      </w:tr>
      <w:tr w:rsidR="002E5D7C" w:rsidRPr="002E5D7C" w:rsidTr="002E5D7C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Anthranil</w:t>
            </w:r>
            <w:r w:rsidRPr="002E5D7C">
              <w:rPr>
                <w:rFonts w:ascii="Calibri" w:eastAsia="Times New Roman" w:hAnsi="Calibri" w:cs="Times New Roman"/>
                <w:color w:val="000000"/>
              </w:rPr>
              <w:t>ic acid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ANA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800</w:t>
            </w:r>
          </w:p>
        </w:tc>
      </w:tr>
      <w:tr w:rsidR="002E5D7C" w:rsidRPr="002E5D7C" w:rsidTr="002E5D7C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N-A</w:t>
            </w:r>
            <w:r w:rsidRPr="002E5D7C">
              <w:rPr>
                <w:rFonts w:ascii="Calibri" w:eastAsia="Times New Roman" w:hAnsi="Calibri" w:cs="Times New Roman"/>
                <w:color w:val="000000"/>
              </w:rPr>
              <w:t>cetylserotonin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NA5HT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400</w:t>
            </w:r>
          </w:p>
        </w:tc>
      </w:tr>
      <w:tr w:rsidR="002E5D7C" w:rsidRPr="002E5D7C" w:rsidTr="002E5D7C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Serotonin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5-HTP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400</w:t>
            </w:r>
          </w:p>
        </w:tc>
      </w:tr>
      <w:tr w:rsidR="002E5D7C" w:rsidRPr="002E5D7C" w:rsidTr="002E5D7C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Homovanillic acid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HVA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D7C" w:rsidRPr="002E5D7C" w:rsidRDefault="002E5D7C" w:rsidP="002E5D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E5D7C">
              <w:rPr>
                <w:rFonts w:ascii="Calibri" w:eastAsia="Times New Roman" w:hAnsi="Calibri" w:cs="Times New Roman"/>
                <w:color w:val="000000"/>
              </w:rPr>
              <w:t>600</w:t>
            </w:r>
          </w:p>
        </w:tc>
      </w:tr>
    </w:tbl>
    <w:p w:rsidR="002E5D7C" w:rsidRPr="009C5C24" w:rsidRDefault="002E5D7C" w:rsidP="002E5D7C">
      <w:pPr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sectPr w:rsidR="002E5D7C" w:rsidRPr="009C5C24" w:rsidSect="005520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46C95"/>
    <w:multiLevelType w:val="hybridMultilevel"/>
    <w:tmpl w:val="9B6ABF86"/>
    <w:lvl w:ilvl="0" w:tplc="08EEEA1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E68E50">
      <w:start w:val="7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CE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1A51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B6CA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3E58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B0CF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F4E3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5C4F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BE377D"/>
    <w:multiLevelType w:val="hybridMultilevel"/>
    <w:tmpl w:val="DBC6E250"/>
    <w:lvl w:ilvl="0" w:tplc="C98EFF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64CB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3011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FE81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56A5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4253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50FC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F4E2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D486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2E7"/>
    <w:rsid w:val="0001151E"/>
    <w:rsid w:val="00045711"/>
    <w:rsid w:val="000660AA"/>
    <w:rsid w:val="000737AE"/>
    <w:rsid w:val="00085652"/>
    <w:rsid w:val="000868E3"/>
    <w:rsid w:val="00094C09"/>
    <w:rsid w:val="000D3E03"/>
    <w:rsid w:val="000D5313"/>
    <w:rsid w:val="000E5A1F"/>
    <w:rsid w:val="001118D4"/>
    <w:rsid w:val="001B0ACD"/>
    <w:rsid w:val="001B45BB"/>
    <w:rsid w:val="001C03ED"/>
    <w:rsid w:val="001E1973"/>
    <w:rsid w:val="001F10AA"/>
    <w:rsid w:val="0020361C"/>
    <w:rsid w:val="002261B0"/>
    <w:rsid w:val="00282FD9"/>
    <w:rsid w:val="002975F2"/>
    <w:rsid w:val="002E1BD2"/>
    <w:rsid w:val="002E5D7C"/>
    <w:rsid w:val="002F184C"/>
    <w:rsid w:val="0032055B"/>
    <w:rsid w:val="00325D7E"/>
    <w:rsid w:val="00326E29"/>
    <w:rsid w:val="00332390"/>
    <w:rsid w:val="0034398D"/>
    <w:rsid w:val="00344B69"/>
    <w:rsid w:val="00347FE9"/>
    <w:rsid w:val="0035015E"/>
    <w:rsid w:val="003622C1"/>
    <w:rsid w:val="00364D72"/>
    <w:rsid w:val="00374424"/>
    <w:rsid w:val="00375960"/>
    <w:rsid w:val="0038215E"/>
    <w:rsid w:val="003A0A46"/>
    <w:rsid w:val="003A27B9"/>
    <w:rsid w:val="00401133"/>
    <w:rsid w:val="00404342"/>
    <w:rsid w:val="004315E2"/>
    <w:rsid w:val="00446FF3"/>
    <w:rsid w:val="00482B07"/>
    <w:rsid w:val="00484BA2"/>
    <w:rsid w:val="00486056"/>
    <w:rsid w:val="00487812"/>
    <w:rsid w:val="004B442C"/>
    <w:rsid w:val="0053245B"/>
    <w:rsid w:val="0055209F"/>
    <w:rsid w:val="005611BD"/>
    <w:rsid w:val="0057017D"/>
    <w:rsid w:val="00571592"/>
    <w:rsid w:val="00590DE0"/>
    <w:rsid w:val="00591A3C"/>
    <w:rsid w:val="00592281"/>
    <w:rsid w:val="00597CA7"/>
    <w:rsid w:val="00601882"/>
    <w:rsid w:val="00614A8E"/>
    <w:rsid w:val="00662299"/>
    <w:rsid w:val="00694892"/>
    <w:rsid w:val="006A5395"/>
    <w:rsid w:val="006A5CF7"/>
    <w:rsid w:val="006A7E7E"/>
    <w:rsid w:val="006C7A41"/>
    <w:rsid w:val="007026FC"/>
    <w:rsid w:val="007301AF"/>
    <w:rsid w:val="007379F9"/>
    <w:rsid w:val="007E4FDF"/>
    <w:rsid w:val="007E50F8"/>
    <w:rsid w:val="007F5F30"/>
    <w:rsid w:val="008636BD"/>
    <w:rsid w:val="00885CF3"/>
    <w:rsid w:val="008E6C38"/>
    <w:rsid w:val="009040E8"/>
    <w:rsid w:val="0095517C"/>
    <w:rsid w:val="00956172"/>
    <w:rsid w:val="00974C0C"/>
    <w:rsid w:val="0099270D"/>
    <w:rsid w:val="009C1231"/>
    <w:rsid w:val="009C5C24"/>
    <w:rsid w:val="00A0127E"/>
    <w:rsid w:val="00A17815"/>
    <w:rsid w:val="00A47130"/>
    <w:rsid w:val="00A61A54"/>
    <w:rsid w:val="00AA3907"/>
    <w:rsid w:val="00AB3920"/>
    <w:rsid w:val="00AB4173"/>
    <w:rsid w:val="00AD3BC3"/>
    <w:rsid w:val="00AD4981"/>
    <w:rsid w:val="00AF446D"/>
    <w:rsid w:val="00B21258"/>
    <w:rsid w:val="00B54297"/>
    <w:rsid w:val="00B823DF"/>
    <w:rsid w:val="00B85F45"/>
    <w:rsid w:val="00BA3B70"/>
    <w:rsid w:val="00BB02E7"/>
    <w:rsid w:val="00BB0914"/>
    <w:rsid w:val="00BB29C8"/>
    <w:rsid w:val="00BD5F13"/>
    <w:rsid w:val="00C35F5F"/>
    <w:rsid w:val="00C37823"/>
    <w:rsid w:val="00C4045E"/>
    <w:rsid w:val="00C42A27"/>
    <w:rsid w:val="00C51CB1"/>
    <w:rsid w:val="00C74C84"/>
    <w:rsid w:val="00C85306"/>
    <w:rsid w:val="00C9090E"/>
    <w:rsid w:val="00C94FC4"/>
    <w:rsid w:val="00CA4F85"/>
    <w:rsid w:val="00CC6924"/>
    <w:rsid w:val="00CE1BBB"/>
    <w:rsid w:val="00CE26FD"/>
    <w:rsid w:val="00CF20BE"/>
    <w:rsid w:val="00CF32C4"/>
    <w:rsid w:val="00D714BD"/>
    <w:rsid w:val="00D932F2"/>
    <w:rsid w:val="00D95AF9"/>
    <w:rsid w:val="00DA1238"/>
    <w:rsid w:val="00DA2E2C"/>
    <w:rsid w:val="00E0236D"/>
    <w:rsid w:val="00E0247F"/>
    <w:rsid w:val="00E3187E"/>
    <w:rsid w:val="00E41AD8"/>
    <w:rsid w:val="00E41F21"/>
    <w:rsid w:val="00E432FB"/>
    <w:rsid w:val="00E43430"/>
    <w:rsid w:val="00E85B8A"/>
    <w:rsid w:val="00E90213"/>
    <w:rsid w:val="00EA1031"/>
    <w:rsid w:val="00EC6788"/>
    <w:rsid w:val="00ED7483"/>
    <w:rsid w:val="00EE5F7D"/>
    <w:rsid w:val="00EE7191"/>
    <w:rsid w:val="00F152E0"/>
    <w:rsid w:val="00F33106"/>
    <w:rsid w:val="00F51F39"/>
    <w:rsid w:val="00F57275"/>
    <w:rsid w:val="00F97400"/>
    <w:rsid w:val="00FB5660"/>
    <w:rsid w:val="00FE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195CA3C-8282-4CA6-8987-0EB882245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5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D5F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BD5F13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2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2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13829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778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5820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81900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41264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595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7568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3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Novokhatny, Andrew (Contractor)</dc:creator>
  <cp:lastModifiedBy>Deese-Spruill, Jocelin</cp:lastModifiedBy>
  <cp:revision>9</cp:revision>
  <dcterms:created xsi:type="dcterms:W3CDTF">2016-05-05T15:21:00Z</dcterms:created>
  <dcterms:modified xsi:type="dcterms:W3CDTF">2016-06-10T16:59:00Z</dcterms:modified>
</cp:coreProperties>
</file>